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>B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 xml:space="preserve"> do zapytania ofertowego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b/>
          <w:bCs/>
          <w:lang w:eastAsia="ar-SA"/>
        </w:rPr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Gen. Bora Komorowskiego 3 (III piętro)</w:t>
        <w:br/>
        <w:tab/>
        <w:tab/>
        <w:tab/>
        <w:tab/>
        <w:tab/>
        <w:tab/>
        <w:tab/>
        <w:tab/>
        <w:tab/>
        <w:tab/>
        <w:tab/>
        <w:tab/>
        <w:tab/>
        <w:t>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PS.2202.2.2.2025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pacing w:lineRule="exact" w:line="300" w:before="0" w:after="120"/>
        <w:jc w:val="both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B – Zakup sprzętu do realizacji zadań z zakresu usprawniania ruchowego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242"/>
        <w:gridCol w:w="2964"/>
        <w:gridCol w:w="1875"/>
        <w:gridCol w:w="2836"/>
        <w:gridCol w:w="982"/>
        <w:gridCol w:w="1482"/>
        <w:gridCol w:w="1018"/>
        <w:gridCol w:w="1106"/>
        <w:gridCol w:w="1089"/>
      </w:tblGrid>
      <w:tr>
        <w:trPr/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 za szt.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 za 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 szt.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Parawan medyczny dwuczęściowy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wysokości min 165 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szerokości min 134 cm,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wykonany w ramie  metalowej  </w:t>
              <w:br/>
              <w:t>Parawan wyposażony w ekran z tkaniny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 do uzgodnienia,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oparty na 4 nogach,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steper prosty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2"/>
              <w:spacing w:lineRule="auto" w:line="276" w:before="0" w:after="29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Antypoślizgowe pedały, regulacja oporu,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Wyświetlacz: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LCD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Możliwość regulacji: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TAK</w:t>
            </w:r>
          </w:p>
          <w:p>
            <w:pPr>
              <w:pStyle w:val="BodyText1"/>
              <w:spacing w:before="0" w:after="26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Linki oporowe: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TAK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Materiał: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Stal, ABS</w:t>
            </w:r>
          </w:p>
          <w:p>
            <w:pPr>
              <w:pStyle w:val="BodyText1"/>
              <w:spacing w:before="0" w:after="26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 xml:space="preserve">Maksymalne obciążenie: min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100 kg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Rodzaj oporu: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Siłowniki hydrauliczne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Ekspandery żelowe.,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oporowe 4szt</w:t>
            </w:r>
          </w:p>
          <w:p>
            <w:pPr>
              <w:pStyle w:val="Normal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(Opór średni 2szt</w:t>
            </w:r>
          </w:p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Opór słaby 2szt)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Składające się z elastycznego elementu oporowego oraz wygodnych uchwytów ,</w:t>
            </w:r>
          </w:p>
          <w:p>
            <w:pPr>
              <w:pStyle w:val="Zawartotabeli"/>
              <w:snapToGrid w:val="false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Wymiary: 18 x 10 cm +- 2cm,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br/>
            </w: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Materiał: guma termoplastyczna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 Opór średni 2szt,</w:t>
            </w:r>
          </w:p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Opór słaby 2szt.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 zest.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piłka gimnastyczna 75cm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Wymiary: średnica piłki  75cm +-5cm,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materiał tworzywo PCV,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Style w:val="Strong"/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 zestawie:</w:t>
            </w: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pompka z systemem pull &amp; push,</w:t>
            </w:r>
          </w:p>
          <w:p>
            <w:pPr>
              <w:pStyle w:val="Zawartotabeli"/>
              <w:rPr/>
            </w:pPr>
            <w:r>
              <w:rPr>
                <w:rStyle w:val="Strong"/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System anti-burst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lub równoważny.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Serso - gra ruchowa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26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Materiał: metal, tworzywo sztuczne, guma</w:t>
            </w:r>
          </w:p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Zestaw min 6 pierścieni ,2 wsporniki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Zestaw akcesorii do sensoryki (piłki, wałki, ringi itp)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12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34 elementy:</w:t>
              <w:br/>
              <w:t>1 x piłka sensoryczna z kolcami w kształcie piramidy o śr. 16 cm +- 2 cm,</w:t>
              <w:br/>
              <w:t>1 x kolczasta piłka do rugby o śr. 24 cm+- 2cm;</w:t>
              <w:br/>
              <w:t>1 x kolczasta piłeczka z koralikami o śr. 10cm+- 2 cm;</w:t>
              <w:br/>
              <w:t>1 x sensoryczna piłeczka metaliczna o śr. 17,5 cm+- 2cm;</w:t>
              <w:br/>
              <w:t>1 x ringo kolczasty Huberta o śr. 17 cm+-2cm;</w:t>
              <w:br/>
              <w:t>1 x piłka z wypustkami o śr. 20 cm +- 2cm</w:t>
              <w:br/>
              <w:t>4 x piłeczki o śr.: 9,3 cm i 7,3 cm +-2cm;</w:t>
              <w:br/>
              <w:t xml:space="preserve">6 x sensoryczne woreczki w kształcie figur wypełnienie: kuleczki z tworzywa sztucznego, </w:t>
              <w:br/>
              <w:t>1 x piłeczka cyrkowa o śr. 5 cm+-2cm;</w:t>
              <w:br/>
              <w:t>1 x sensoryczny labirynt - ślimak z kulkami;</w:t>
              <w:br/>
              <w:t>1 x ster sensoryczny;</w:t>
              <w:br/>
              <w:t>2 x wałek do masażu o śr. 11 cm+-1cm,</w:t>
              <w:br/>
              <w:t>1 x wałek do masażu o śr. 6 cm+-1cm</w:t>
              <w:br/>
              <w:t xml:space="preserve">4 x półkule sensoryczne małe o wym.: 9 cm+-2cm, </w:t>
              <w:br/>
              <w:t>4 x piłeczki do masażu o wym.: 2 piłki o śr. 8 cm i 10 cm, 2 piłki o śr. 8 cm i 10 cm +-2cm;</w:t>
              <w:br/>
              <w:t xml:space="preserve">1 x piłeczka do masażu z wypustkami o śr. 8 cm+-2cm, </w:t>
              <w:br/>
              <w:t>1 x ringo z koralikami o śr. 18 cm +-2cm;</w:t>
              <w:br/>
              <w:t>1 x mini piłeczka lekarska z uchwytem o śr. 11 cm+-2cm,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 zest.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rotor kończyn dolnych i górnych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2w 1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3"/>
              <w:numPr>
                <w:ilvl w:val="0"/>
                <w:numId w:val="0"/>
              </w:numPr>
              <w:spacing w:before="200" w:after="0"/>
              <w:ind w:hanging="0" w:left="0"/>
              <w:rPr>
                <w:rStyle w:val="Strong"/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Parametry: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Regulacja oporu: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ręczna,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Komputer treningowy ,wyświetlacz,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Maksymalna waga użytkownika:min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100 kg,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Pedały z antypoślizgową strukturą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oraz regulacją długości paska zabezpieczającego.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Dwukierunkowe działanie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pozwalające na jazdę w 2 kierunkach.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Funkcje komputera m.in.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czas, dystans, kalorie itp.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                                                                                                  </w:t>
      </w:r>
      <w:r>
        <w:rPr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2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3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uppressAutoHyphens w:val="true"/>
      <w:spacing w:before="200" w:after="0"/>
      <w:outlineLvl w:val="2"/>
    </w:pPr>
    <w:rPr>
      <w:rFonts w:ascii="Cambria" w:hAnsi="Cambria" w:eastAsia="Times New Roman" w:cs="Mangal;Courier New"/>
      <w:b/>
      <w:bCs/>
      <w:color w:val="4F81BD"/>
      <w:szCs w:val="2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2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1086</TotalTime>
  <Application>LibreOffice/24.2.3.2$Windows_X86_64 LibreOffice_project/433d9c2ded56988e8a90e6b2e771ee4e6a5ab2ba</Application>
  <AppVersion>15.0000</AppVersion>
  <Pages>4</Pages>
  <Words>519</Words>
  <Characters>2837</Characters>
  <CharactersWithSpaces>3500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2025-09-08T14:00:31Z</dcterms:modified>
  <cp:revision>133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